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F24CB5" w:rsidP="00F24CB5" w14:paraId="4E242806" w14:textId="77777777">
      <w:pPr>
        <w:pStyle w:val="NormalWeb"/>
        <w:spacing w:before="0" w:beforeAutospacing="0" w:after="0" w:afterAutospacing="0" w:line="480" w:lineRule="auto"/>
        <w:rPr>
          <w:color w:val="0E101A"/>
        </w:rPr>
      </w:pPr>
    </w:p>
    <w:p w:rsidR="00F24CB5" w:rsidP="00F24CB5" w14:paraId="5C20592D" w14:textId="77777777">
      <w:pPr>
        <w:pStyle w:val="NormalWeb"/>
        <w:spacing w:before="0" w:beforeAutospacing="0" w:after="0" w:afterAutospacing="0" w:line="480" w:lineRule="auto"/>
        <w:rPr>
          <w:color w:val="0E101A"/>
        </w:rPr>
      </w:pPr>
    </w:p>
    <w:p w:rsidR="00F24CB5" w:rsidP="00F24CB5" w14:paraId="6009FBDF" w14:textId="77777777">
      <w:pPr>
        <w:pStyle w:val="NormalWeb"/>
        <w:spacing w:before="0" w:beforeAutospacing="0" w:after="0" w:afterAutospacing="0" w:line="480" w:lineRule="auto"/>
        <w:rPr>
          <w:color w:val="0E101A"/>
        </w:rPr>
      </w:pPr>
    </w:p>
    <w:p w:rsidR="00F24CB5" w:rsidP="00F24CB5" w14:paraId="7A1082C2" w14:textId="77777777">
      <w:pPr>
        <w:pStyle w:val="NormalWeb"/>
        <w:spacing w:before="0" w:beforeAutospacing="0" w:after="0" w:afterAutospacing="0" w:line="480" w:lineRule="auto"/>
        <w:rPr>
          <w:color w:val="0E101A"/>
        </w:rPr>
      </w:pPr>
    </w:p>
    <w:p w:rsidR="00F24CB5" w:rsidP="00F24CB5" w14:paraId="66754A21" w14:textId="77777777">
      <w:pPr>
        <w:pStyle w:val="NormalWeb"/>
        <w:spacing w:before="0" w:beforeAutospacing="0" w:after="0" w:afterAutospacing="0" w:line="480" w:lineRule="auto"/>
        <w:rPr>
          <w:color w:val="0E101A"/>
        </w:rPr>
      </w:pPr>
    </w:p>
    <w:p w:rsidR="00F24CB5" w:rsidP="00354738" w14:paraId="3CA9C55B" w14:textId="77777777">
      <w:pPr>
        <w:pStyle w:val="NormalWeb"/>
        <w:spacing w:before="0" w:beforeAutospacing="0" w:after="0" w:afterAutospacing="0" w:line="480" w:lineRule="auto"/>
        <w:jc w:val="center"/>
        <w:rPr>
          <w:color w:val="0E101A"/>
        </w:rPr>
      </w:pPr>
    </w:p>
    <w:p w:rsidR="00FD45AA" w:rsidRPr="00FD45AA" w:rsidP="00FD45AA" w14:paraId="0B8CDD30" w14:textId="77777777">
      <w:pPr>
        <w:pStyle w:val="NormalWeb"/>
        <w:spacing w:before="0" w:beforeAutospacing="0" w:after="0" w:afterAutospacing="0" w:line="480" w:lineRule="auto"/>
        <w:jc w:val="center"/>
        <w:rPr>
          <w:color w:val="0E101A"/>
        </w:rPr>
      </w:pPr>
      <w:r w:rsidRPr="00FD45AA">
        <w:rPr>
          <w:color w:val="0E101A"/>
        </w:rPr>
        <w:t>Journal Critique Assignment</w:t>
      </w:r>
    </w:p>
    <w:p w:rsidR="00F24CB5" w:rsidP="00354738" w14:paraId="53ED6DFF" w14:textId="77777777">
      <w:pPr>
        <w:pStyle w:val="NormalWeb"/>
        <w:spacing w:before="0" w:beforeAutospacing="0" w:after="0" w:afterAutospacing="0" w:line="480" w:lineRule="auto"/>
        <w:jc w:val="center"/>
        <w:rPr>
          <w:color w:val="0E101A"/>
        </w:rPr>
      </w:pPr>
      <w:r>
        <w:rPr>
          <w:color w:val="0E101A"/>
        </w:rPr>
        <w:t>Author</w:t>
      </w:r>
    </w:p>
    <w:p w:rsidR="00F24CB5" w:rsidP="00354738" w14:paraId="56A1A069" w14:textId="77777777">
      <w:pPr>
        <w:pStyle w:val="NormalWeb"/>
        <w:spacing w:before="0" w:beforeAutospacing="0" w:after="0" w:afterAutospacing="0" w:line="480" w:lineRule="auto"/>
        <w:jc w:val="center"/>
        <w:rPr>
          <w:color w:val="0E101A"/>
        </w:rPr>
      </w:pPr>
      <w:r>
        <w:rPr>
          <w:color w:val="0E101A"/>
        </w:rPr>
        <w:t>EDUC 673 Curriculum and Methods for Effective Instruction</w:t>
      </w:r>
    </w:p>
    <w:p w:rsidR="00F24CB5" w:rsidP="00354738" w14:paraId="1193AEA5" w14:textId="77777777">
      <w:pPr>
        <w:pStyle w:val="NormalWeb"/>
        <w:spacing w:before="0" w:beforeAutospacing="0" w:after="0" w:afterAutospacing="0" w:line="480" w:lineRule="auto"/>
        <w:jc w:val="center"/>
        <w:rPr>
          <w:color w:val="0E101A"/>
        </w:rPr>
      </w:pPr>
    </w:p>
    <w:p w:rsidR="00F24CB5" w:rsidP="00F24CB5" w14:paraId="699FA2E4" w14:textId="77777777">
      <w:pPr>
        <w:pStyle w:val="NormalWeb"/>
        <w:spacing w:before="0" w:beforeAutospacing="0" w:after="0" w:afterAutospacing="0" w:line="480" w:lineRule="auto"/>
        <w:rPr>
          <w:color w:val="0E101A"/>
        </w:rPr>
      </w:pPr>
    </w:p>
    <w:p w:rsidR="00F24CB5" w:rsidP="00F24CB5" w14:paraId="2C38F273" w14:textId="77777777">
      <w:pPr>
        <w:pStyle w:val="NormalWeb"/>
        <w:spacing w:before="0" w:beforeAutospacing="0" w:after="0" w:afterAutospacing="0" w:line="480" w:lineRule="auto"/>
        <w:rPr>
          <w:color w:val="0E101A"/>
        </w:rPr>
      </w:pPr>
    </w:p>
    <w:p w:rsidR="00F24CB5" w:rsidP="00F24CB5" w14:paraId="1FB9F5A7" w14:textId="77777777">
      <w:pPr>
        <w:pStyle w:val="NormalWeb"/>
        <w:spacing w:before="0" w:beforeAutospacing="0" w:after="0" w:afterAutospacing="0" w:line="480" w:lineRule="auto"/>
        <w:rPr>
          <w:color w:val="0E101A"/>
        </w:rPr>
      </w:pPr>
    </w:p>
    <w:p w:rsidR="00F24CB5" w:rsidP="00F24CB5" w14:paraId="3C11D345" w14:textId="77777777">
      <w:pPr>
        <w:pStyle w:val="NormalWeb"/>
        <w:spacing w:before="0" w:beforeAutospacing="0" w:after="0" w:afterAutospacing="0" w:line="480" w:lineRule="auto"/>
        <w:rPr>
          <w:color w:val="0E101A"/>
        </w:rPr>
      </w:pPr>
    </w:p>
    <w:p w:rsidR="00F24CB5" w:rsidP="00F24CB5" w14:paraId="12E2E279" w14:textId="77777777">
      <w:pPr>
        <w:pStyle w:val="NormalWeb"/>
        <w:spacing w:before="0" w:beforeAutospacing="0" w:after="0" w:afterAutospacing="0" w:line="480" w:lineRule="auto"/>
        <w:rPr>
          <w:color w:val="0E101A"/>
        </w:rPr>
      </w:pPr>
    </w:p>
    <w:p w:rsidR="00F24CB5" w:rsidP="00F24CB5" w14:paraId="2516FEB8" w14:textId="77777777">
      <w:pPr>
        <w:pStyle w:val="NormalWeb"/>
        <w:spacing w:before="0" w:beforeAutospacing="0" w:after="0" w:afterAutospacing="0" w:line="480" w:lineRule="auto"/>
        <w:rPr>
          <w:color w:val="0E101A"/>
        </w:rPr>
      </w:pPr>
    </w:p>
    <w:p w:rsidR="00F24CB5" w:rsidP="00F24CB5" w14:paraId="7E36AC9C" w14:textId="77777777">
      <w:pPr>
        <w:pStyle w:val="NormalWeb"/>
        <w:spacing w:before="0" w:beforeAutospacing="0" w:after="0" w:afterAutospacing="0" w:line="480" w:lineRule="auto"/>
        <w:rPr>
          <w:color w:val="0E101A"/>
        </w:rPr>
      </w:pPr>
    </w:p>
    <w:p w:rsidR="00F24CB5" w:rsidP="00F24CB5" w14:paraId="1288DFB9" w14:textId="77777777">
      <w:pPr>
        <w:pStyle w:val="NormalWeb"/>
        <w:spacing w:before="0" w:beforeAutospacing="0" w:after="0" w:afterAutospacing="0" w:line="480" w:lineRule="auto"/>
        <w:rPr>
          <w:color w:val="0E101A"/>
        </w:rPr>
      </w:pPr>
    </w:p>
    <w:p w:rsidR="00F24CB5" w:rsidP="00F24CB5" w14:paraId="27FB8A36" w14:textId="77777777">
      <w:pPr>
        <w:pStyle w:val="NormalWeb"/>
        <w:spacing w:before="0" w:beforeAutospacing="0" w:after="0" w:afterAutospacing="0" w:line="480" w:lineRule="auto"/>
        <w:rPr>
          <w:color w:val="0E101A"/>
        </w:rPr>
      </w:pPr>
    </w:p>
    <w:p w:rsidR="00F24CB5" w:rsidP="00F24CB5" w14:paraId="77F1F076" w14:textId="77777777">
      <w:pPr>
        <w:pStyle w:val="NormalWeb"/>
        <w:spacing w:before="0" w:beforeAutospacing="0" w:after="0" w:afterAutospacing="0" w:line="480" w:lineRule="auto"/>
        <w:rPr>
          <w:color w:val="0E101A"/>
        </w:rPr>
      </w:pPr>
    </w:p>
    <w:p w:rsidR="00F24CB5" w:rsidP="00F24CB5" w14:paraId="17A2DD93" w14:textId="77777777">
      <w:pPr>
        <w:pStyle w:val="NormalWeb"/>
        <w:spacing w:before="0" w:beforeAutospacing="0" w:after="0" w:afterAutospacing="0" w:line="480" w:lineRule="auto"/>
        <w:rPr>
          <w:color w:val="0E101A"/>
        </w:rPr>
      </w:pPr>
    </w:p>
    <w:p w:rsidR="00F24CB5" w:rsidP="00F24CB5" w14:paraId="5E1B09DF" w14:textId="77777777">
      <w:pPr>
        <w:pStyle w:val="NormalWeb"/>
        <w:spacing w:before="0" w:beforeAutospacing="0" w:after="0" w:afterAutospacing="0" w:line="480" w:lineRule="auto"/>
        <w:rPr>
          <w:color w:val="0E101A"/>
        </w:rPr>
      </w:pPr>
    </w:p>
    <w:p w:rsidR="00F24CB5" w:rsidP="00F24CB5" w14:paraId="4E569610" w14:textId="77777777">
      <w:pPr>
        <w:pStyle w:val="NormalWeb"/>
        <w:spacing w:before="0" w:beforeAutospacing="0" w:after="0" w:afterAutospacing="0" w:line="480" w:lineRule="auto"/>
        <w:rPr>
          <w:color w:val="0E101A"/>
        </w:rPr>
      </w:pPr>
    </w:p>
    <w:p w:rsidR="00F24CB5" w:rsidP="00F24CB5" w14:paraId="6AC7CCC9" w14:textId="77777777">
      <w:pPr>
        <w:pStyle w:val="NormalWeb"/>
        <w:spacing w:before="0" w:beforeAutospacing="0" w:after="0" w:afterAutospacing="0" w:line="480" w:lineRule="auto"/>
        <w:rPr>
          <w:color w:val="0E101A"/>
        </w:rPr>
      </w:pPr>
    </w:p>
    <w:p w:rsidR="00F24CB5" w:rsidRPr="00C51D73" w:rsidP="00C51D73" w14:paraId="0E082738" w14:textId="4A04C586">
      <w:pPr>
        <w:pStyle w:val="NormalWeb"/>
        <w:spacing w:before="0" w:beforeAutospacing="0" w:after="0" w:afterAutospacing="0" w:line="480" w:lineRule="auto"/>
        <w:jc w:val="center"/>
        <w:rPr>
          <w:b/>
          <w:color w:val="0E101A"/>
        </w:rPr>
      </w:pPr>
      <w:r>
        <w:rPr>
          <w:b/>
          <w:color w:val="0E101A"/>
        </w:rPr>
        <w:t>Journa</w:t>
      </w:r>
      <w:r w:rsidR="00E81F7C">
        <w:rPr>
          <w:b/>
          <w:color w:val="0E101A"/>
        </w:rPr>
        <w:t>l Critique Assignment</w:t>
      </w:r>
    </w:p>
    <w:p w:rsidR="00715238" w:rsidRPr="00715238" w:rsidP="00715238" w14:paraId="06C8C888" w14:textId="1631CAB2">
      <w:pPr>
        <w:pStyle w:val="NormalWeb"/>
        <w:spacing w:before="0" w:beforeAutospacing="0" w:after="0" w:afterAutospacing="0" w:line="480" w:lineRule="auto"/>
        <w:jc w:val="center"/>
        <w:rPr>
          <w:b/>
          <w:color w:val="0E101A"/>
        </w:rPr>
      </w:pPr>
      <w:r w:rsidRPr="00715238">
        <w:rPr>
          <w:b/>
          <w:color w:val="0E101A"/>
        </w:rPr>
        <w:t>Introduction</w:t>
      </w:r>
    </w:p>
    <w:p w:rsidR="00F24CB5" w:rsidP="00F24CB5" w14:paraId="69D54DE8" w14:textId="5FC1BE9B">
      <w:pPr>
        <w:pStyle w:val="NormalWeb"/>
        <w:spacing w:before="0" w:beforeAutospacing="0" w:after="0" w:afterAutospacing="0" w:line="480" w:lineRule="auto"/>
        <w:rPr>
          <w:color w:val="0E101A"/>
        </w:rPr>
      </w:pPr>
      <w:r>
        <w:rPr>
          <w:color w:val="0E101A"/>
        </w:rPr>
        <w:t xml:space="preserve"> This article focuses on impact assessment, a sustainability topic that both accountants and investors are keen on. It majors on the pursuit of a flawless impact evaluation system that is expected to dominate the sustainability landscape soon, driven by key influencers and a genuine desire to evaluate the influence of corporate sustainability initiatives finally. The author of this article is </w:t>
      </w:r>
      <w:r>
        <w:rPr>
          <w:color w:val="0E101A"/>
        </w:rPr>
        <w:t>Unerman</w:t>
      </w:r>
      <w:r>
        <w:rPr>
          <w:color w:val="0E101A"/>
        </w:rPr>
        <w:t xml:space="preserve"> et al. (2018). Social impact analysis is a discipline that is constantly changing. As a result, whether a company is new or has been in operation for a long time, possibilities are an organizations impact estimation method, assuming an organization has one, lacks consistency in both information and message. Therefore, this paper explores significant challenges and knowledge inputs from a study on accounting research measurement and evaluation, impact assessment, and involvement. </w:t>
      </w:r>
    </w:p>
    <w:p w:rsidR="00F24CB5" w:rsidP="009E4655" w14:paraId="371AB0D2" w14:textId="77777777">
      <w:pPr>
        <w:pStyle w:val="NormalWeb"/>
        <w:spacing w:before="0" w:beforeAutospacing="0" w:after="0" w:afterAutospacing="0" w:line="480" w:lineRule="auto"/>
        <w:jc w:val="center"/>
        <w:rPr>
          <w:color w:val="0E101A"/>
        </w:rPr>
      </w:pPr>
      <w:r>
        <w:rPr>
          <w:rStyle w:val="Strong"/>
          <w:color w:val="0E101A"/>
        </w:rPr>
        <w:t>Summary</w:t>
      </w:r>
    </w:p>
    <w:p w:rsidR="00F24CB5" w:rsidP="00F24CB5" w14:paraId="15FE4594" w14:textId="5EAFE759">
      <w:pPr>
        <w:pStyle w:val="NormalWeb"/>
        <w:spacing w:before="0" w:beforeAutospacing="0" w:after="0" w:afterAutospacing="0" w:line="480" w:lineRule="auto"/>
        <w:rPr>
          <w:color w:val="0E101A"/>
        </w:rPr>
      </w:pPr>
      <w:r>
        <w:rPr>
          <w:color w:val="0E101A"/>
        </w:rPr>
        <w:t>           Clients, particularly those in business-to-business transactions, are growing increasingly concerned about impact assessment. They are also requesting this evaluation. Internally, evaluating the effect of business sustainability increases employee engagement and happiness, raises awareness of sustainability concerns and indicates openness. Daniela Proust, Senior Manager Sustainability at Siemens, suggests that it is not the method that matters when implementing impact measurement but rather the people are the ones that matter</w:t>
      </w:r>
      <w:r w:rsidR="00F548E5">
        <w:rPr>
          <w:color w:val="0E101A"/>
        </w:rPr>
        <w:t xml:space="preserve"> (</w:t>
      </w:r>
      <w:r w:rsidR="00F548E5">
        <w:rPr>
          <w:color w:val="0E101A"/>
        </w:rPr>
        <w:t>Unerman</w:t>
      </w:r>
      <w:r w:rsidR="00F548E5">
        <w:rPr>
          <w:color w:val="0E101A"/>
        </w:rPr>
        <w:t xml:space="preserve"> et al., 2018)</w:t>
      </w:r>
      <w:r>
        <w:rPr>
          <w:color w:val="0E101A"/>
        </w:rPr>
        <w:t xml:space="preserve">. Therefore, Impact evaluation gets back to the fundamental inquiry of why do organizations pursue corporate governance in the first place. Unless businesses commit to accounting evaluating the effect, their sustainability programs will either tackle just a subset of </w:t>
      </w:r>
      <w:r>
        <w:rPr>
          <w:color w:val="0E101A"/>
        </w:rPr>
        <w:t>societal problems or do not influence at all. Those that are sincere about their mission, on the other hand, will win.</w:t>
      </w:r>
    </w:p>
    <w:p w:rsidR="00F24CB5" w:rsidP="009E4655" w14:paraId="56BFF7B6" w14:textId="77777777">
      <w:pPr>
        <w:pStyle w:val="NormalWeb"/>
        <w:spacing w:before="0" w:beforeAutospacing="0" w:after="0" w:afterAutospacing="0" w:line="480" w:lineRule="auto"/>
        <w:jc w:val="center"/>
        <w:rPr>
          <w:color w:val="0E101A"/>
        </w:rPr>
      </w:pPr>
      <w:r>
        <w:rPr>
          <w:rStyle w:val="Strong"/>
          <w:color w:val="0E101A"/>
        </w:rPr>
        <w:t>Analysis</w:t>
      </w:r>
    </w:p>
    <w:p w:rsidR="00F24CB5" w:rsidP="00F24CB5" w14:paraId="1D8EDCC2" w14:textId="77777777">
      <w:pPr>
        <w:pStyle w:val="NormalWeb"/>
        <w:spacing w:before="0" w:beforeAutospacing="0" w:after="0" w:afterAutospacing="0" w:line="480" w:lineRule="auto"/>
        <w:rPr>
          <w:color w:val="0E101A"/>
        </w:rPr>
      </w:pPr>
      <w:r>
        <w:rPr>
          <w:color w:val="0E101A"/>
        </w:rPr>
        <w:t xml:space="preserve">           The intended audience of this article is mainly investors. It demonstrates the capacity to validate that corporate advantages from investments in sustainability initiatives are genuine and enticing to investors and sustainability experts. </w:t>
      </w:r>
      <w:r>
        <w:rPr>
          <w:color w:val="0E101A"/>
        </w:rPr>
        <w:t>Unerman</w:t>
      </w:r>
      <w:r>
        <w:rPr>
          <w:color w:val="0E101A"/>
        </w:rPr>
        <w:t xml:space="preserve"> et al. (2018) communicate the projected objectives to the anticipated audience, suggesting that aside from the apparent benefits for performing impact assessments, such as determining if our programs and initiatives are effective and guiding future decisions, impact evaluations assist investors in making smarter investment choices. The authors provide examples of organizations already conducting this assessment like </w:t>
      </w:r>
      <w:r>
        <w:rPr>
          <w:color w:val="0E101A"/>
        </w:rPr>
        <w:t>RobecoSAM</w:t>
      </w:r>
      <w:r>
        <w:rPr>
          <w:color w:val="0E101A"/>
        </w:rPr>
        <w:t xml:space="preserve"> and their successes, thus providing enough support to back up their claims. Furthermore, I believe that the article was influential because of the positive reviews that it has been accorded.</w:t>
      </w:r>
    </w:p>
    <w:p w:rsidR="00F24CB5" w:rsidP="009E4655" w14:paraId="0CB7B793" w14:textId="77777777">
      <w:pPr>
        <w:pStyle w:val="NormalWeb"/>
        <w:spacing w:before="0" w:beforeAutospacing="0" w:after="0" w:afterAutospacing="0" w:line="480" w:lineRule="auto"/>
        <w:jc w:val="center"/>
        <w:rPr>
          <w:color w:val="0E101A"/>
        </w:rPr>
      </w:pPr>
      <w:r>
        <w:rPr>
          <w:rStyle w:val="Strong"/>
          <w:color w:val="0E101A"/>
        </w:rPr>
        <w:t>Personal Reflection</w:t>
      </w:r>
    </w:p>
    <w:p w:rsidR="00F24CB5" w:rsidP="00F24CB5" w14:paraId="7F0A459C" w14:textId="77777777">
      <w:pPr>
        <w:pStyle w:val="NormalWeb"/>
        <w:spacing w:before="0" w:beforeAutospacing="0" w:after="0" w:afterAutospacing="0" w:line="480" w:lineRule="auto"/>
        <w:rPr>
          <w:color w:val="0E101A"/>
        </w:rPr>
      </w:pPr>
      <w:r>
        <w:rPr>
          <w:color w:val="0E101A"/>
        </w:rPr>
        <w:t xml:space="preserve">           When a guideline is introduced as a spontaneous reaction to legal frameworks, or as a section of an agreed policy pledge to incorporate global accounting or auditing guidelines, the impact evaluation must discuss the rationale for combining the standard and therefore should concentrate on any features of the proposed criterion that augment or deviates from the relevant statute. However, I think that companies, on the other hand, find it challenging to perform impact assessments, and it all comes down to purpose. Traditionally, the primary goal of the business world has been to capitalize on profits; donations and other social sector entities have been tasked with generating social impact. Therefore, although the social sector has long argued how to capture and quantify impact effectively, businesses have not been a part of that conversation. </w:t>
      </w:r>
      <w:r>
        <w:rPr>
          <w:color w:val="0E101A"/>
        </w:rPr>
        <w:t>Consequently, just a few firms are set up to examine more than the outputs of their sustainability initiatives, and the corporate sector as a whole has relatively limited experience with an impact assessment to share.</w:t>
      </w:r>
    </w:p>
    <w:p w:rsidR="00F24CB5" w:rsidP="009E4655" w14:paraId="481D6F40" w14:textId="77777777">
      <w:pPr>
        <w:pStyle w:val="NormalWeb"/>
        <w:spacing w:before="0" w:beforeAutospacing="0" w:after="0" w:afterAutospacing="0" w:line="480" w:lineRule="auto"/>
        <w:jc w:val="center"/>
        <w:rPr>
          <w:color w:val="0E101A"/>
        </w:rPr>
      </w:pPr>
      <w:r>
        <w:rPr>
          <w:rStyle w:val="Strong"/>
          <w:color w:val="0E101A"/>
        </w:rPr>
        <w:t>Conclusion</w:t>
      </w:r>
    </w:p>
    <w:p w:rsidR="00F24CB5" w:rsidP="00F24CB5" w14:paraId="2C41D493" w14:textId="13838EB8">
      <w:pPr>
        <w:pStyle w:val="NormalWeb"/>
        <w:spacing w:before="0" w:beforeAutospacing="0" w:after="0" w:afterAutospacing="0" w:line="480" w:lineRule="auto"/>
        <w:rPr>
          <w:color w:val="0E101A"/>
        </w:rPr>
      </w:pPr>
      <w:r>
        <w:rPr>
          <w:color w:val="0E101A"/>
        </w:rPr>
        <w:tab/>
      </w:r>
      <w:r>
        <w:rPr>
          <w:color w:val="0E101A"/>
        </w:rPr>
        <w:t xml:space="preserve">To conclude, general-purpose financial reporting aims to give information about the reporting company's financial position that may be used by present and future </w:t>
      </w:r>
      <w:r w:rsidR="00C87957">
        <w:rPr>
          <w:color w:val="0E101A"/>
        </w:rPr>
        <w:t xml:space="preserve">financiers and investors </w:t>
      </w:r>
      <w:r>
        <w:rPr>
          <w:color w:val="0E101A"/>
        </w:rPr>
        <w:t xml:space="preserve">when </w:t>
      </w:r>
      <w:r w:rsidR="00C87957">
        <w:rPr>
          <w:color w:val="0E101A"/>
        </w:rPr>
        <w:t xml:space="preserve">determining whether to contribute resources to an </w:t>
      </w:r>
      <w:r>
        <w:rPr>
          <w:color w:val="0E101A"/>
        </w:rPr>
        <w:t>institution</w:t>
      </w:r>
      <w:r w:rsidR="00C87957">
        <w:rPr>
          <w:color w:val="0E101A"/>
        </w:rPr>
        <w:t xml:space="preserve"> or not</w:t>
      </w:r>
      <w:r w:rsidR="006D5497">
        <w:rPr>
          <w:color w:val="0E101A"/>
        </w:rPr>
        <w:t xml:space="preserve">. Such </w:t>
      </w:r>
      <w:r>
        <w:rPr>
          <w:color w:val="0E101A"/>
        </w:rPr>
        <w:t xml:space="preserve">choices must encompass the </w:t>
      </w:r>
      <w:r w:rsidR="00787658">
        <w:rPr>
          <w:color w:val="0E101A"/>
        </w:rPr>
        <w:t>acquisition, sale, and retaining</w:t>
      </w:r>
      <w:r>
        <w:rPr>
          <w:color w:val="0E101A"/>
        </w:rPr>
        <w:t xml:space="preserve"> of stock </w:t>
      </w:r>
      <w:r w:rsidR="00787658">
        <w:rPr>
          <w:color w:val="0E101A"/>
        </w:rPr>
        <w:t xml:space="preserve">and debt securities and </w:t>
      </w:r>
      <w:r>
        <w:rPr>
          <w:color w:val="0E101A"/>
        </w:rPr>
        <w:t xml:space="preserve">the provision or settlement of </w:t>
      </w:r>
      <w:r w:rsidR="00787658">
        <w:rPr>
          <w:color w:val="0E101A"/>
        </w:rPr>
        <w:t>credits and other kinds of loans</w:t>
      </w:r>
      <w:r>
        <w:rPr>
          <w:color w:val="0E101A"/>
        </w:rPr>
        <w:t>. Similarly, general purpose financial statements may also benefit other entities such as administration, policymakers, and the general public. Therefore, sustaining and enhancing the quality of financial reporting is critical for ensuring trust in financial institutions and the economy as a whole. Therefore, the key objectives and expected consequences of any set assessment standards should be to provide accounts with high-quality, comprehensible financial reporting appropriate to the scale and complexity of the organization and the users' information demands.</w:t>
      </w:r>
    </w:p>
    <w:p w:rsidR="00F24CB5" w:rsidP="00F24CB5" w14:paraId="7484DB93" w14:textId="77777777">
      <w:pPr>
        <w:pStyle w:val="NormalWeb"/>
        <w:spacing w:before="0" w:beforeAutospacing="0" w:after="0" w:afterAutospacing="0" w:line="480" w:lineRule="auto"/>
        <w:rPr>
          <w:color w:val="0E101A"/>
        </w:rPr>
      </w:pPr>
    </w:p>
    <w:p w:rsidR="00F24CB5" w:rsidP="00F24CB5" w14:paraId="27E87DE1" w14:textId="77777777">
      <w:pPr>
        <w:pStyle w:val="NormalWeb"/>
        <w:spacing w:before="0" w:beforeAutospacing="0" w:after="0" w:afterAutospacing="0" w:line="480" w:lineRule="auto"/>
        <w:rPr>
          <w:color w:val="0E101A"/>
        </w:rPr>
      </w:pPr>
      <w:r>
        <w:rPr>
          <w:color w:val="0E101A"/>
        </w:rPr>
        <w:t> </w:t>
      </w:r>
    </w:p>
    <w:p w:rsidR="00403C37" w14:paraId="3D1E4975" w14:textId="77777777">
      <w:pPr>
        <w:rPr>
          <w:rStyle w:val="Strong"/>
          <w:rFonts w:ascii="Times New Roman" w:eastAsia="Times New Roman" w:hAnsi="Times New Roman" w:cs="Times New Roman"/>
          <w:color w:val="0E101A"/>
          <w:sz w:val="24"/>
          <w:szCs w:val="24"/>
        </w:rPr>
      </w:pPr>
      <w:r>
        <w:rPr>
          <w:rStyle w:val="Strong"/>
          <w:color w:val="0E101A"/>
        </w:rPr>
        <w:br w:type="page"/>
      </w:r>
    </w:p>
    <w:p w:rsidR="00F24CB5" w:rsidP="00403C37" w14:paraId="1D31F4BC" w14:textId="4E9ECCA9">
      <w:pPr>
        <w:pStyle w:val="NormalWeb"/>
        <w:spacing w:before="0" w:beforeAutospacing="0" w:after="0" w:afterAutospacing="0" w:line="480" w:lineRule="auto"/>
        <w:jc w:val="center"/>
        <w:rPr>
          <w:color w:val="0E101A"/>
        </w:rPr>
      </w:pPr>
      <w:r>
        <w:rPr>
          <w:rStyle w:val="Strong"/>
          <w:color w:val="0E101A"/>
        </w:rPr>
        <w:t>Refer</w:t>
      </w:r>
      <w:bookmarkStart w:id="0" w:name="_GoBack"/>
      <w:bookmarkEnd w:id="0"/>
      <w:r>
        <w:rPr>
          <w:rStyle w:val="Strong"/>
          <w:color w:val="0E101A"/>
        </w:rPr>
        <w:t>ences</w:t>
      </w:r>
    </w:p>
    <w:p w:rsidR="00F24CB5" w:rsidP="009C1092" w14:paraId="20869B87" w14:textId="77777777">
      <w:pPr>
        <w:pStyle w:val="NormalWeb"/>
        <w:spacing w:before="0" w:beforeAutospacing="0" w:after="0" w:afterAutospacing="0" w:line="480" w:lineRule="auto"/>
        <w:ind w:left="720" w:hanging="720"/>
        <w:rPr>
          <w:color w:val="0E101A"/>
        </w:rPr>
      </w:pPr>
      <w:r>
        <w:rPr>
          <w:color w:val="0E101A"/>
        </w:rPr>
        <w:t>Unerman</w:t>
      </w:r>
      <w:r>
        <w:rPr>
          <w:color w:val="0E101A"/>
        </w:rPr>
        <w:t xml:space="preserve">, J., </w:t>
      </w:r>
      <w:r>
        <w:rPr>
          <w:color w:val="0E101A"/>
        </w:rPr>
        <w:t>Bebbington</w:t>
      </w:r>
      <w:r>
        <w:rPr>
          <w:color w:val="0E101A"/>
        </w:rPr>
        <w:t xml:space="preserve">, J., &amp; </w:t>
      </w:r>
      <w:r>
        <w:rPr>
          <w:color w:val="0E101A"/>
        </w:rPr>
        <w:t>O'dwyer</w:t>
      </w:r>
      <w:r>
        <w:rPr>
          <w:color w:val="0E101A"/>
        </w:rPr>
        <w:t>, B. (2018). </w:t>
      </w:r>
      <w:r>
        <w:rPr>
          <w:rStyle w:val="Emphasis"/>
          <w:color w:val="0E101A"/>
        </w:rPr>
        <w:t>Corporate Reporting and Accounting for Externalities.</w:t>
      </w:r>
      <w:r>
        <w:rPr>
          <w:color w:val="0E101A"/>
        </w:rPr>
        <w:t> Accounting and Business Research, 48(5), 497-522.</w:t>
      </w:r>
    </w:p>
    <w:p w:rsidR="00C25272" w:rsidRPr="00F24CB5" w:rsidP="00F24CB5" w14:paraId="6AEA18DD" w14:textId="6CC03D8D">
      <w:pPr>
        <w:spacing w:line="480" w:lineRule="auto"/>
      </w:pPr>
    </w:p>
    <w:sectPr w:rsidSect="00C376D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76DE" w:rsidP="00C376DE" w14:paraId="376FFD0F" w14:textId="7998C6E6">
    <w:pPr>
      <w:pStyle w:val="Header"/>
    </w:pPr>
    <w:r>
      <w:rPr>
        <w:rFonts w:ascii="Times New Roman" w:hAnsi="Times New Roman" w:cs="Times New Roman"/>
        <w:sz w:val="24"/>
        <w:szCs w:val="24"/>
      </w:rPr>
      <w:t xml:space="preserve">JOURNAL CRITIQUE </w:t>
    </w:r>
    <w:r w:rsidR="004A3E83">
      <w:rPr>
        <w:rFonts w:ascii="Times New Roman" w:hAnsi="Times New Roman" w:cs="Times New Roman"/>
        <w:sz w:val="24"/>
        <w:szCs w:val="24"/>
      </w:rPr>
      <w:t>ASSESSMENT</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981140544"/>
        <w:docPartObj>
          <w:docPartGallery w:val="Page Numbers (Top of Page)"/>
          <w:docPartUnique/>
        </w:docPartObj>
      </w:sdtPr>
      <w:sdtEndPr>
        <w:rPr>
          <w:noProof/>
        </w:rPr>
      </w:sdtEndPr>
      <w:sdtContent>
        <w:r w:rsidRPr="00C376DE">
          <w:rPr>
            <w:rFonts w:ascii="Times New Roman" w:hAnsi="Times New Roman" w:cs="Times New Roman"/>
            <w:sz w:val="24"/>
            <w:szCs w:val="24"/>
          </w:rPr>
          <w:fldChar w:fldCharType="begin"/>
        </w:r>
        <w:r w:rsidRPr="00C376DE">
          <w:rPr>
            <w:rFonts w:ascii="Times New Roman" w:hAnsi="Times New Roman" w:cs="Times New Roman"/>
            <w:sz w:val="24"/>
            <w:szCs w:val="24"/>
          </w:rPr>
          <w:instrText xml:space="preserve"> PAGE   \* MERGEFORMAT </w:instrText>
        </w:r>
        <w:r w:rsidRPr="00C376DE">
          <w:rPr>
            <w:rFonts w:ascii="Times New Roman" w:hAnsi="Times New Roman" w:cs="Times New Roman"/>
            <w:sz w:val="24"/>
            <w:szCs w:val="24"/>
          </w:rPr>
          <w:fldChar w:fldCharType="separate"/>
        </w:r>
        <w:r w:rsidR="009C1092">
          <w:rPr>
            <w:rFonts w:ascii="Times New Roman" w:hAnsi="Times New Roman" w:cs="Times New Roman"/>
            <w:noProof/>
            <w:sz w:val="24"/>
            <w:szCs w:val="24"/>
          </w:rPr>
          <w:t>5</w:t>
        </w:r>
        <w:r w:rsidRPr="00C376DE">
          <w:rPr>
            <w:rFonts w:ascii="Times New Roman" w:hAnsi="Times New Roman" w:cs="Times New Roman"/>
            <w:noProof/>
            <w:sz w:val="24"/>
            <w:szCs w:val="24"/>
          </w:rPr>
          <w:fldChar w:fldCharType="end"/>
        </w:r>
      </w:sdtContent>
    </w:sdt>
  </w:p>
  <w:p w:rsidR="00C376DE" w:rsidRPr="00C376DE" w14:paraId="5E4BE6DD" w14:textId="77777777">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76DE" w:rsidRPr="00C376DE" w14:paraId="7BBD96FD" w14:textId="298295CE">
    <w:pPr>
      <w:pStyle w:val="Header"/>
      <w:rPr>
        <w:rFonts w:ascii="Times New Roman" w:hAnsi="Times New Roman" w:cs="Times New Roman"/>
        <w:sz w:val="24"/>
        <w:szCs w:val="24"/>
      </w:rPr>
    </w:pPr>
    <w:r>
      <w:rPr>
        <w:rFonts w:ascii="Times New Roman" w:hAnsi="Times New Roman" w:cs="Times New Roman"/>
        <w:sz w:val="24"/>
        <w:szCs w:val="24"/>
      </w:rPr>
      <w:t xml:space="preserve">JOURNAL CRITIQUE </w:t>
    </w:r>
    <w:r w:rsidR="00E763FE">
      <w:rPr>
        <w:rFonts w:ascii="Times New Roman" w:hAnsi="Times New Roman" w:cs="Times New Roman"/>
        <w:sz w:val="24"/>
        <w:szCs w:val="24"/>
      </w:rPr>
      <w:t>ASSESSMENT</w:t>
    </w:r>
    <w:r>
      <w:rPr>
        <w:rFonts w:ascii="Times New Roman" w:hAnsi="Times New Roman" w:cs="Times New Roman"/>
        <w:sz w:val="24"/>
        <w:szCs w:val="24"/>
      </w:rPr>
      <w:tab/>
    </w:r>
    <w:r>
      <w:rPr>
        <w:rFonts w:ascii="Times New Roman" w:hAnsi="Times New Roman" w:cs="Times New Roman"/>
        <w:sz w:val="24"/>
        <w:szCs w:val="24"/>
      </w:rPr>
      <w:tab/>
    </w:r>
    <w:r w:rsidRPr="00C376DE">
      <w:rPr>
        <w:rFonts w:ascii="Times New Roman" w:hAnsi="Times New Roman" w:cs="Times New Roman"/>
        <w:sz w:val="24"/>
        <w:szCs w:val="24"/>
      </w:rPr>
      <w:fldChar w:fldCharType="begin"/>
    </w:r>
    <w:r w:rsidRPr="00C376DE">
      <w:rPr>
        <w:rFonts w:ascii="Times New Roman" w:hAnsi="Times New Roman" w:cs="Times New Roman"/>
        <w:sz w:val="24"/>
        <w:szCs w:val="24"/>
      </w:rPr>
      <w:instrText xml:space="preserve"> PAGE   \* MERGEFORMAT </w:instrText>
    </w:r>
    <w:r w:rsidRPr="00C376DE">
      <w:rPr>
        <w:rFonts w:ascii="Times New Roman" w:hAnsi="Times New Roman" w:cs="Times New Roman"/>
        <w:sz w:val="24"/>
        <w:szCs w:val="24"/>
      </w:rPr>
      <w:fldChar w:fldCharType="separate"/>
    </w:r>
    <w:r w:rsidR="009C1092">
      <w:rPr>
        <w:rFonts w:ascii="Times New Roman" w:hAnsi="Times New Roman" w:cs="Times New Roman"/>
        <w:noProof/>
        <w:sz w:val="24"/>
        <w:szCs w:val="24"/>
      </w:rPr>
      <w:t>1</w:t>
    </w:r>
    <w:r w:rsidRPr="00C376D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6DE"/>
    <w:rsid w:val="000611F4"/>
    <w:rsid w:val="000731E2"/>
    <w:rsid w:val="00082243"/>
    <w:rsid w:val="000A6B88"/>
    <w:rsid w:val="000E22AA"/>
    <w:rsid w:val="001006DA"/>
    <w:rsid w:val="00117772"/>
    <w:rsid w:val="0015043E"/>
    <w:rsid w:val="001B01FC"/>
    <w:rsid w:val="001B3CB0"/>
    <w:rsid w:val="0020129B"/>
    <w:rsid w:val="00245C56"/>
    <w:rsid w:val="00280E0D"/>
    <w:rsid w:val="00304861"/>
    <w:rsid w:val="0031766A"/>
    <w:rsid w:val="00354738"/>
    <w:rsid w:val="00355189"/>
    <w:rsid w:val="0037428C"/>
    <w:rsid w:val="003E6812"/>
    <w:rsid w:val="00403C37"/>
    <w:rsid w:val="00476B38"/>
    <w:rsid w:val="004932CE"/>
    <w:rsid w:val="004A14F3"/>
    <w:rsid w:val="004A3E83"/>
    <w:rsid w:val="00577CED"/>
    <w:rsid w:val="005A08B1"/>
    <w:rsid w:val="005C5B99"/>
    <w:rsid w:val="005E4A92"/>
    <w:rsid w:val="00697912"/>
    <w:rsid w:val="006D5497"/>
    <w:rsid w:val="006E1C4B"/>
    <w:rsid w:val="006E3B3C"/>
    <w:rsid w:val="006E5A38"/>
    <w:rsid w:val="00715238"/>
    <w:rsid w:val="007747EE"/>
    <w:rsid w:val="00787658"/>
    <w:rsid w:val="007C71CD"/>
    <w:rsid w:val="007D2B68"/>
    <w:rsid w:val="00845179"/>
    <w:rsid w:val="008464FF"/>
    <w:rsid w:val="008B7031"/>
    <w:rsid w:val="008C1A64"/>
    <w:rsid w:val="008D10EB"/>
    <w:rsid w:val="009904EB"/>
    <w:rsid w:val="009C1092"/>
    <w:rsid w:val="009D05B5"/>
    <w:rsid w:val="009E33D0"/>
    <w:rsid w:val="009E4655"/>
    <w:rsid w:val="00A01931"/>
    <w:rsid w:val="00A16F06"/>
    <w:rsid w:val="00A263AE"/>
    <w:rsid w:val="00A41943"/>
    <w:rsid w:val="00B06786"/>
    <w:rsid w:val="00B06C84"/>
    <w:rsid w:val="00B22B26"/>
    <w:rsid w:val="00B33668"/>
    <w:rsid w:val="00B4546B"/>
    <w:rsid w:val="00B71662"/>
    <w:rsid w:val="00B85014"/>
    <w:rsid w:val="00C167E9"/>
    <w:rsid w:val="00C20934"/>
    <w:rsid w:val="00C24574"/>
    <w:rsid w:val="00C25272"/>
    <w:rsid w:val="00C3736F"/>
    <w:rsid w:val="00C376DE"/>
    <w:rsid w:val="00C51D73"/>
    <w:rsid w:val="00C87957"/>
    <w:rsid w:val="00CA52CB"/>
    <w:rsid w:val="00CC1372"/>
    <w:rsid w:val="00D46807"/>
    <w:rsid w:val="00DA6A16"/>
    <w:rsid w:val="00DB36FB"/>
    <w:rsid w:val="00DD53C3"/>
    <w:rsid w:val="00E5377B"/>
    <w:rsid w:val="00E54B20"/>
    <w:rsid w:val="00E763FE"/>
    <w:rsid w:val="00E80A28"/>
    <w:rsid w:val="00E81F7C"/>
    <w:rsid w:val="00E90AB6"/>
    <w:rsid w:val="00EE6F31"/>
    <w:rsid w:val="00EF15C5"/>
    <w:rsid w:val="00F02D83"/>
    <w:rsid w:val="00F24CB5"/>
    <w:rsid w:val="00F51F79"/>
    <w:rsid w:val="00F548E5"/>
    <w:rsid w:val="00F75622"/>
    <w:rsid w:val="00FD45A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06F7CB9"/>
  <w15:chartTrackingRefBased/>
  <w15:docId w15:val="{DAD76A3A-2D14-4880-9F40-15C5AB6FB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76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76DE"/>
  </w:style>
  <w:style w:type="paragraph" w:styleId="Footer">
    <w:name w:val="footer"/>
    <w:basedOn w:val="Normal"/>
    <w:link w:val="FooterChar"/>
    <w:uiPriority w:val="99"/>
    <w:unhideWhenUsed/>
    <w:rsid w:val="00C376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76DE"/>
  </w:style>
  <w:style w:type="character" w:styleId="Hyperlink">
    <w:name w:val="Hyperlink"/>
    <w:basedOn w:val="DefaultParagraphFont"/>
    <w:uiPriority w:val="99"/>
    <w:unhideWhenUsed/>
    <w:rsid w:val="00F75622"/>
    <w:rPr>
      <w:color w:val="0563C1" w:themeColor="hyperlink"/>
      <w:u w:val="single"/>
    </w:rPr>
  </w:style>
  <w:style w:type="paragraph" w:styleId="NormalWeb">
    <w:name w:val="Normal (Web)"/>
    <w:basedOn w:val="Normal"/>
    <w:uiPriority w:val="99"/>
    <w:semiHidden/>
    <w:unhideWhenUsed/>
    <w:rsid w:val="00F24CB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24CB5"/>
    <w:rPr>
      <w:b/>
      <w:bCs/>
    </w:rPr>
  </w:style>
  <w:style w:type="character" w:styleId="Emphasis">
    <w:name w:val="Emphasis"/>
    <w:basedOn w:val="DefaultParagraphFont"/>
    <w:uiPriority w:val="20"/>
    <w:qFormat/>
    <w:rsid w:val="00F24CB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773</Words>
  <Characters>4412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5175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Cordes, Megan L (School of Education)</dc:creator>
  <cp:lastModifiedBy>HP</cp:lastModifiedBy>
  <cp:revision>6</cp:revision>
  <dcterms:created xsi:type="dcterms:W3CDTF">2021-10-01T10:35:00Z</dcterms:created>
  <dcterms:modified xsi:type="dcterms:W3CDTF">2021-10-01T11:04:00Z</dcterms:modified>
</cp:coreProperties>
</file>